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200" w:rightChars="400" w:firstLine="0"/>
        <w:textAlignment w:val="auto"/>
        <w:rPr>
          <w:rFonts w:ascii="黑体" w:hAnsi="黑体" w:eastAsia="黑体"/>
          <w:spacing w:val="0"/>
          <w:kern w:val="0"/>
          <w:sz w:val="32"/>
          <w:szCs w:val="32"/>
        </w:rPr>
      </w:pPr>
      <w:bookmarkStart w:id="0" w:name="OLE_LINK5"/>
      <w:r>
        <w:rPr>
          <w:rFonts w:hint="eastAsia" w:ascii="黑体" w:hAnsi="黑体" w:eastAsia="黑体"/>
          <w:spacing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/>
        <w:textAlignment w:val="auto"/>
        <w:rPr>
          <w:rFonts w:ascii="仿宋_GB231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 xml:space="preserve">社区卫生服务站 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村卫生室中医阁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建设标准（试行）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/>
        <w:textAlignment w:val="auto"/>
        <w:rPr>
          <w:rFonts w:ascii="方正小标宋简体" w:eastAsia="方正小标宋简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中医阁是指社区卫生服务站、村卫生室内开展中医药服务的诊疗区，具备能提供中医药服务的人员、设施设备、信息化等卫生资源。为规范社区卫生服务站、村卫生室中医阁的建设，提升基层中医药服务能力，为居民提供简、便、验、廉的中医药服务，特制定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b/>
          <w:bCs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一、中医阁设置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（一）中医阁独立设置，布局合理，体现中医药特色，满足保护患者隐私、无障碍设计要求，使用面积不低于20平方米。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（二）至少设有1个中医诊室和1个中医治疗室。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（三）在醒目位置悬挂“中医阁”标识，标识样式可按本地特点统一要求。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二、中药房设置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（一）中药饮片品种数不少于80种，或与社区卫生服务中心、乡镇卫生院等签订中药饮片调剂代煎配送协议。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（二）配备中成药品种不少于30种。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三、中医药人员配置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（一）社区卫生服务站至少配备1名中医类别执业（助理）医师。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（二）村卫生室至少配备1名中医类别执业（助理）医师或以中医药服务为主的乡村医生。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四、中医医疗服务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（一）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lang w:bidi="ar"/>
        </w:rPr>
        <w:t>能够提供中药饮片服务和4类6项以上中医医疗技术。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（二）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lang w:bidi="ar"/>
        </w:rPr>
        <w:t>配备不少于5种中医诊疗和康复设备。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（三）中医诊疗人次占总诊疗人次的比例不低于20%，中医处方（包含中药饮片、中成药）占处方总数的比例不低于20%。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（四）中药饮片处方占处方总数的比例不低于3%或中医非药物疗法治疗人数占总诊疗人次的比例不低于5%。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（一）按照国家基本公共卫生服务的要求，开展中医药健康管理服务，对重点人群实施2种以上中医药健康管理，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lang w:bidi="ar"/>
        </w:rPr>
        <w:t>目标人群覆盖率不低于国家基本要求。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（二）每年开展不少于4场（次）的中医药科普宣教活动，宣传资料中应有40%以上的中医药宣传资料内容。提供中医药宣教处方。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（三）设置中医药文化宣传橱窗、中医药文化墙。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仿宋_GB2312" w:hAnsi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kern w:val="0"/>
          <w:sz w:val="32"/>
          <w:szCs w:val="32"/>
        </w:rPr>
        <w:t>（四）加强信息化建设，借助互联网技术提高中医药服务效率和质量。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08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yyl</cp:lastModifiedBy>
  <dcterms:modified xsi:type="dcterms:W3CDTF">2023-03-22T01:32:49Z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