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eastAsia="黑体"/>
          <w:kern w:val="2"/>
          <w:sz w:val="32"/>
          <w:szCs w:val="24"/>
        </w:rPr>
      </w:pPr>
      <w:r>
        <w:rPr>
          <w:rFonts w:ascii="黑体" w:hAnsi="Times New Roman" w:eastAsia="黑体"/>
          <w:kern w:val="2"/>
          <w:sz w:val="32"/>
          <w:szCs w:val="24"/>
        </w:rPr>
        <w:t>附件</w:t>
      </w:r>
      <w:r>
        <w:rPr>
          <w:rFonts w:hint="eastAsia" w:ascii="黑体" w:eastAsia="黑体"/>
          <w:kern w:val="2"/>
          <w:sz w:val="32"/>
          <w:szCs w:val="24"/>
          <w:lang w:val="en-US" w:eastAsia="zh-CN"/>
        </w:rPr>
        <w:t>5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kern w:val="2"/>
          <w:sz w:val="32"/>
          <w:szCs w:val="2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202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kern w:val="2"/>
          <w:sz w:val="44"/>
          <w:szCs w:val="44"/>
        </w:rPr>
        <w:t>年省卫生健康面向农村和城市社区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推广适宜技术申报指南</w:t>
      </w:r>
    </w:p>
    <w:p>
      <w:pPr>
        <w:adjustRightInd w:val="0"/>
        <w:snapToGrid w:val="0"/>
        <w:spacing w:line="590" w:lineRule="exact"/>
        <w:jc w:val="center"/>
        <w:rPr>
          <w:rFonts w:ascii="楷体_GB2312" w:eastAsia="楷体_GB2312"/>
          <w:b w:val="0"/>
          <w:bCs/>
          <w:kern w:val="2"/>
          <w:sz w:val="32"/>
          <w:szCs w:val="24"/>
        </w:rPr>
      </w:pPr>
      <w:r>
        <w:rPr>
          <w:rFonts w:ascii="楷体_GB2312" w:eastAsia="楷体_GB2312"/>
          <w:b w:val="0"/>
          <w:bCs/>
          <w:kern w:val="2"/>
          <w:sz w:val="32"/>
          <w:szCs w:val="24"/>
        </w:rPr>
        <w:t>（指南代码：202</w:t>
      </w:r>
      <w:r>
        <w:rPr>
          <w:rFonts w:hint="eastAsia" w:ascii="楷体_GB2312" w:eastAsia="楷体_GB2312"/>
          <w:b w:val="0"/>
          <w:bCs/>
          <w:kern w:val="2"/>
          <w:sz w:val="32"/>
          <w:szCs w:val="24"/>
          <w:lang w:val="en-US" w:eastAsia="zh-CN"/>
        </w:rPr>
        <w:t>2</w:t>
      </w:r>
      <w:r>
        <w:rPr>
          <w:rFonts w:ascii="楷体_GB2312" w:eastAsia="楷体_GB2312"/>
          <w:b w:val="0"/>
          <w:bCs/>
          <w:kern w:val="2"/>
          <w:sz w:val="32"/>
          <w:szCs w:val="24"/>
        </w:rPr>
        <w:t>TG0101）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kern w:val="2"/>
          <w:sz w:val="32"/>
          <w:szCs w:val="24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一、重点支持领域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心脑血管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疾病、呼吸系统疾病、代谢性疾病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等慢性非传染性疾病和中医康复等</w:t>
      </w:r>
      <w:r>
        <w:rPr>
          <w:rFonts w:ascii="仿宋_GB2312" w:eastAsia="仿宋_GB2312"/>
          <w:kern w:val="2"/>
          <w:sz w:val="32"/>
          <w:szCs w:val="24"/>
        </w:rPr>
        <w:t>基层适宜技术的研发和推广。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二、申报要求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（一）每个项目资助经费2万元。研究时限原则不超过3年，起始时间为20</w:t>
      </w:r>
      <w:r>
        <w:rPr>
          <w:rFonts w:hint="eastAsia" w:ascii="仿宋_GB2312" w:eastAsia="仿宋_GB2312"/>
          <w:kern w:val="2"/>
          <w:sz w:val="32"/>
          <w:szCs w:val="24"/>
        </w:rPr>
        <w:t>2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3</w:t>
      </w:r>
      <w:r>
        <w:rPr>
          <w:rFonts w:ascii="仿宋_GB2312" w:eastAsia="仿宋_GB2312"/>
          <w:kern w:val="2"/>
          <w:sz w:val="32"/>
          <w:szCs w:val="24"/>
        </w:rPr>
        <w:t>年</w:t>
      </w:r>
      <w:r>
        <w:rPr>
          <w:rFonts w:hint="eastAsia" w:ascii="仿宋_GB2312" w:eastAsia="仿宋_GB2312"/>
          <w:kern w:val="2"/>
          <w:sz w:val="32"/>
          <w:szCs w:val="24"/>
        </w:rPr>
        <w:t>1月1日</w:t>
      </w:r>
      <w:r>
        <w:rPr>
          <w:rFonts w:ascii="仿宋_GB2312" w:eastAsia="仿宋_GB2312"/>
          <w:kern w:val="2"/>
          <w:sz w:val="32"/>
          <w:szCs w:val="24"/>
        </w:rPr>
        <w:t>，结束时间原则不超过202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5</w:t>
      </w:r>
      <w:r>
        <w:rPr>
          <w:rFonts w:ascii="仿宋_GB2312" w:eastAsia="仿宋_GB2312"/>
          <w:kern w:val="2"/>
          <w:sz w:val="32"/>
          <w:szCs w:val="24"/>
        </w:rPr>
        <w:t>年</w:t>
      </w:r>
      <w:r>
        <w:rPr>
          <w:rFonts w:hint="eastAsia" w:ascii="仿宋_GB2312" w:eastAsia="仿宋_GB2312"/>
          <w:kern w:val="2"/>
          <w:sz w:val="32"/>
          <w:szCs w:val="24"/>
        </w:rPr>
        <w:t>12月31日</w:t>
      </w:r>
      <w:r>
        <w:rPr>
          <w:rFonts w:ascii="仿宋_GB2312" w:eastAsia="仿宋_GB2312"/>
          <w:kern w:val="2"/>
          <w:sz w:val="32"/>
          <w:szCs w:val="24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（二）申报单位必须为二级及以上医疗机构。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（三）项目技术先进、成熟、安全有效，对医疗设备要求不高，基层医疗卫生人员通过学习较易掌握，适宜县级及以下农村及城市社区医疗卫生单位使用。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（四）项目应在一定范围内推广应用2年以上，取得良好效果，有2个以上（含2个）基层单位提供应用证明。与推广的技术项目配套的产品必须是经过批准并获市场准入。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三、各单位推荐申报数</w:t>
      </w:r>
    </w:p>
    <w:p>
      <w:pPr>
        <w:adjustRightInd w:val="0"/>
        <w:snapToGrid w:val="0"/>
        <w:spacing w:line="240" w:lineRule="auto"/>
        <w:ind w:firstLine="640" w:firstLineChars="200"/>
        <w:rPr>
          <w:rFonts w:hint="eastAsia" w:ascii="仿宋_GB2312" w:eastAsia="仿宋_GB2312"/>
          <w:kern w:val="2"/>
          <w:sz w:val="32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455"/>
        <w:gridCol w:w="138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tblHeader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建议申报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指标数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福建省立医院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（含省立金山医院）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福建医科大学附属协和医院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（含医大附三医院）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福建医科大学附属第一医院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（含省皮防院、滨海新城医院、奥体院区）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福建省疾病预防控制中心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福建省肿瘤医院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福建省妇幼保健院（含福建省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妇产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医院）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福建省儿童医院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福建医科大学附属口腔医院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福建省医学科学研究院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福建省老年医院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福建省级机关医院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福建中医药大学附属康复医院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福建省卫生健康监督所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福建省血液中心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福建省职业病与化学中毒预防控制中心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福建中医药大学附属第三人民医院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漳州市卫生健康委员会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三明市卫生健康委员会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南平市卫生健康委员会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龙岩市卫生健康委员会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宁德市卫生健康委员会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平潭综合实验区社会事业局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bookmarkStart w:id="0" w:name="_Hlt409598350"/>
      <w:bookmarkStart w:id="1" w:name="_Hlt409598349"/>
      <w:r>
        <w:rPr>
          <w:rFonts w:hint="eastAsia" w:ascii="黑体" w:hAnsi="Times New Roman" w:eastAsia="黑体"/>
          <w:kern w:val="2"/>
          <w:sz w:val="32"/>
          <w:szCs w:val="24"/>
        </w:rPr>
        <w:t>四、申报程序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网上申报流程为：申报单位注册登录福建省卫生健康科技计划项目管理信息系统（</w:t>
      </w:r>
      <w:r>
        <w:rPr>
          <w:rFonts w:ascii="仿宋_GB2312" w:eastAsia="仿宋_GB2312"/>
          <w:kern w:val="2"/>
          <w:sz w:val="32"/>
          <w:szCs w:val="24"/>
        </w:rPr>
        <w:t>http://220.160.52.169:9070</w:t>
      </w:r>
      <w:r>
        <w:rPr>
          <w:rFonts w:hint="eastAsia" w:ascii="仿宋_GB2312" w:eastAsia="仿宋_GB2312"/>
          <w:kern w:val="2"/>
          <w:sz w:val="32"/>
          <w:szCs w:val="24"/>
        </w:rPr>
        <w:t>）─申报管理─添加项目申请书─选择“面向农村和城市社区推广适宜技术项目”及对应指南代码（202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2</w:t>
      </w:r>
      <w:r>
        <w:rPr>
          <w:rFonts w:hint="eastAsia" w:ascii="仿宋_GB2312" w:eastAsia="仿宋_GB2312"/>
          <w:kern w:val="2"/>
          <w:sz w:val="32"/>
          <w:szCs w:val="24"/>
        </w:rPr>
        <w:t>TG0101）─填报申请书─上传附件。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五、其他事项</w:t>
      </w:r>
    </w:p>
    <w:bookmarkEnd w:id="0"/>
    <w:bookmarkEnd w:id="1"/>
    <w:p>
      <w:pPr>
        <w:adjustRightInd w:val="0"/>
        <w:snapToGrid w:val="0"/>
        <w:spacing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24"/>
        </w:rPr>
        <w:t>立项推广的项目可授予省级Ⅰ类继续教育学分。</w:t>
      </w: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01" w:left="1588" w:header="851" w:footer="1588" w:gutter="0"/>
      <w:pgNumType w:fmt="decimal" w:start="22"/>
      <w:cols w:space="720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84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CA01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2022-08-23T02:02:39Z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5B8387867F9C4BEDB379329933AEFF1E</vt:lpwstr>
  </property>
</Properties>
</file>