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left="1" w:leftChars="-85" w:hanging="179" w:hangingChars="56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</w:t>
      </w:r>
    </w:p>
    <w:p>
      <w:pPr>
        <w:adjustRightInd w:val="0"/>
        <w:snapToGrid w:val="0"/>
        <w:rPr>
          <w:rFonts w:hint="eastAsia" w:ascii="Times New Roman" w:hAnsi="Times New Roman" w:eastAsia="仿宋_GB2312"/>
          <w:sz w:val="32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bidi="ar-SA"/>
        </w:rPr>
        <w:t>2018年福建省基层卫生人才能力提升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bidi="ar-SA"/>
        </w:rPr>
        <w:t>培训项目培训人数安排表</w:t>
      </w:r>
    </w:p>
    <w:p>
      <w:pPr>
        <w:adjustRightInd w:val="0"/>
        <w:snapToGrid w:val="0"/>
        <w:rPr>
          <w:rFonts w:hint="eastAsia" w:ascii="Times New Roman" w:hAnsi="Times New Roman" w:eastAsia="仿宋_GB2312"/>
          <w:sz w:val="32"/>
        </w:rPr>
      </w:pPr>
    </w:p>
    <w:tbl>
      <w:tblPr>
        <w:tblStyle w:val="7"/>
        <w:tblW w:w="9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658"/>
        <w:gridCol w:w="1694"/>
        <w:gridCol w:w="1676"/>
        <w:gridCol w:w="143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lang w:bidi="ar"/>
              </w:rPr>
              <w:t>设区市</w:t>
            </w:r>
          </w:p>
        </w:tc>
        <w:tc>
          <w:tcPr>
            <w:tcW w:w="6464" w:type="dxa"/>
            <w:gridSpan w:val="4"/>
            <w:vAlign w:val="center"/>
          </w:tcPr>
          <w:p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lang w:bidi="ar"/>
              </w:rPr>
              <w:t>培训人数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</w:p>
        </w:tc>
        <w:tc>
          <w:tcPr>
            <w:tcW w:w="1658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乡镇卫生院和社区卫生服务中心临床医师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乡镇卫生院和社区卫生服务中心护士</w:t>
            </w:r>
          </w:p>
        </w:tc>
        <w:tc>
          <w:tcPr>
            <w:tcW w:w="1676" w:type="dxa"/>
            <w:tcBorders>
              <w:bottom w:val="nil"/>
            </w:tcBorders>
            <w:vAlign w:val="center"/>
          </w:tcPr>
          <w:p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一体化村卫生所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sz w:val="24"/>
                <w:szCs w:val="24"/>
              </w:rPr>
              <w:t>乡村医生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乡镇卫生院、社区卫生服务中心管理人员</w:t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</w:p>
        </w:tc>
        <w:tc>
          <w:tcPr>
            <w:tcW w:w="165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Style w:val="8"/>
                <w:rFonts w:hint="default" w:ascii="Times New Roman" w:hAnsi="Times New Roman" w:eastAsia="黑体"/>
                <w:b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169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Style w:val="8"/>
                <w:rFonts w:hint="default" w:ascii="Times New Roman" w:hAnsi="Times New Roman" w:eastAsia="黑体"/>
                <w:b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167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Style w:val="8"/>
                <w:rFonts w:hint="default" w:ascii="Times New Roman" w:hAnsi="Times New Roman" w:eastAsia="黑体"/>
                <w:b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Style w:val="8"/>
                <w:rFonts w:hint="default" w:ascii="Times New Roman" w:hAnsi="Times New Roman" w:eastAsia="黑体"/>
                <w:b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1,500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福州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泉州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漳州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莆田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三明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南平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龙岩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宁德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平潭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90" w:lineRule="exact"/>
        <w:ind w:left="0" w:leftChars="-113" w:right="-227" w:rightChars="-108" w:hanging="237" w:hangingChars="99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注：1. 临床医师培训120天，约每2个乡镇卫生院（社区卫生服务中心）选派1名培训。</w:t>
      </w:r>
    </w:p>
    <w:p>
      <w:pPr>
        <w:adjustRightInd w:val="0"/>
        <w:snapToGrid w:val="0"/>
        <w:spacing w:line="590" w:lineRule="exact"/>
        <w:ind w:right="-227" w:rightChars="-108" w:firstLine="240" w:firstLineChars="10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2. 护士培训5天，约每个乡镇卫生院（社区卫生服务中心）选派1名培训。</w:t>
      </w:r>
    </w:p>
    <w:p>
      <w:pPr>
        <w:adjustRightInd w:val="0"/>
        <w:snapToGrid w:val="0"/>
        <w:spacing w:line="590" w:lineRule="exact"/>
        <w:ind w:right="-227" w:rightChars="-108" w:firstLine="240" w:firstLineChars="10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3. 村卫生室人员培训7天，按照规划设置一体化村卫生所13%各选派1名培训。</w:t>
      </w:r>
    </w:p>
    <w:p>
      <w:pPr>
        <w:adjustRightInd w:val="0"/>
        <w:snapToGrid w:val="0"/>
        <w:spacing w:line="590" w:lineRule="exact"/>
        <w:ind w:right="-227" w:rightChars="-108" w:firstLine="240" w:firstLineChars="100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4. 管理人员培训5天，约每2个乡镇卫生院（社区卫生服务中心）选派1名培训。</w:t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474" w:bottom="1701" w:left="1588" w:header="851" w:footer="1588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  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C0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51"/>
    <w:basedOn w:val="4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2018-08-14T02:50:45Z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