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>
      <w:pPr>
        <w:spacing w:line="590" w:lineRule="exact"/>
        <w:rPr>
          <w:szCs w:val="32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hAnsi="方正小标宋简体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12</w:t>
      </w:r>
      <w:r>
        <w:rPr>
          <w:rFonts w:hAnsi="方正小标宋简体" w:eastAsia="方正小标宋简体"/>
          <w:sz w:val="44"/>
          <w:szCs w:val="44"/>
        </w:rPr>
        <w:t>类原国家基本公共卫生服务项目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主要目标任务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90" w:lineRule="exact"/>
        <w:rPr>
          <w:szCs w:val="32"/>
        </w:rPr>
      </w:pPr>
      <w:r>
        <w:rPr>
          <w:rFonts w:hAnsi="仿宋_GB2312"/>
          <w:szCs w:val="32"/>
        </w:rPr>
        <w:t>居民电子健康档案建档率达到</w:t>
      </w:r>
      <w:r>
        <w:rPr>
          <w:szCs w:val="32"/>
        </w:rPr>
        <w:t>90</w:t>
      </w:r>
      <w:r>
        <w:rPr>
          <w:rFonts w:hAnsi="仿宋_GB2312"/>
          <w:szCs w:val="32"/>
        </w:rPr>
        <w:t>％以上</w:t>
      </w:r>
    </w:p>
    <w:p>
      <w:pPr>
        <w:numPr>
          <w:ilvl w:val="0"/>
          <w:numId w:val="1"/>
        </w:numPr>
        <w:spacing w:line="590" w:lineRule="exact"/>
        <w:rPr>
          <w:szCs w:val="32"/>
        </w:rPr>
      </w:pPr>
      <w:r>
        <w:rPr>
          <w:rFonts w:hAnsi="仿宋_GB2312"/>
          <w:szCs w:val="32"/>
        </w:rPr>
        <w:t>适龄儿童国家免疫规划疫苗接种率达到</w:t>
      </w:r>
      <w:r>
        <w:rPr>
          <w:szCs w:val="32"/>
        </w:rPr>
        <w:t>90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szCs w:val="32"/>
        </w:rPr>
        <w:t>3.</w:t>
      </w:r>
      <w:r>
        <w:rPr>
          <w:rFonts w:hAnsi="仿宋_GB2312"/>
          <w:szCs w:val="32"/>
        </w:rPr>
        <w:t>新生儿访视率、儿童健康管理率分别达到</w:t>
      </w:r>
      <w:r>
        <w:rPr>
          <w:szCs w:val="32"/>
        </w:rPr>
        <w:t>90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szCs w:val="32"/>
        </w:rPr>
        <w:t>4.</w:t>
      </w:r>
      <w:r>
        <w:rPr>
          <w:rFonts w:hAnsi="仿宋_GB2312"/>
          <w:szCs w:val="32"/>
        </w:rPr>
        <w:t>早孕建册率和产后访视率分别达到</w:t>
      </w:r>
      <w:r>
        <w:rPr>
          <w:szCs w:val="32"/>
        </w:rPr>
        <w:t>90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szCs w:val="32"/>
        </w:rPr>
        <w:t>5.</w:t>
      </w:r>
      <w:r>
        <w:rPr>
          <w:rFonts w:hAnsi="仿宋_GB2312"/>
          <w:szCs w:val="32"/>
        </w:rPr>
        <w:t>老年人健康管理率达到</w:t>
      </w:r>
      <w:r>
        <w:rPr>
          <w:szCs w:val="32"/>
        </w:rPr>
        <w:t>70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rFonts w:hint="eastAsia"/>
          <w:szCs w:val="32"/>
        </w:rPr>
      </w:pPr>
      <w:r>
        <w:rPr>
          <w:szCs w:val="32"/>
        </w:rPr>
        <w:t>6.</w:t>
      </w:r>
      <w:r>
        <w:rPr>
          <w:rFonts w:hAnsi="仿宋_GB2312"/>
          <w:szCs w:val="32"/>
        </w:rPr>
        <w:t>高血压患者管理人数在</w:t>
      </w:r>
      <w:r>
        <w:rPr>
          <w:szCs w:val="32"/>
        </w:rPr>
        <w:t>2019</w:t>
      </w:r>
      <w:r>
        <w:rPr>
          <w:rFonts w:hAnsi="仿宋_GB2312"/>
          <w:szCs w:val="32"/>
        </w:rPr>
        <w:t>年工作基础上稳步提高</w:t>
      </w:r>
      <w:r>
        <w:rPr>
          <w:rFonts w:hint="eastAsia" w:hAnsi="仿宋_GB2312"/>
          <w:szCs w:val="32"/>
        </w:rPr>
        <w:t>，</w:t>
      </w:r>
      <w:r>
        <w:rPr>
          <w:rFonts w:hAnsi="仿宋_GB2312"/>
          <w:szCs w:val="32"/>
        </w:rPr>
        <w:t>规</w:t>
      </w:r>
      <w:r>
        <w:rPr>
          <w:rFonts w:hint="eastAsia" w:hAnsi="仿宋_GB2312"/>
          <w:szCs w:val="32"/>
        </w:rPr>
        <w:t>范管</w:t>
      </w:r>
    </w:p>
    <w:p>
      <w:pPr>
        <w:spacing w:line="590" w:lineRule="exact"/>
        <w:ind w:firstLine="249" w:firstLineChars="78"/>
        <w:rPr>
          <w:szCs w:val="32"/>
        </w:rPr>
      </w:pPr>
      <w:r>
        <w:rPr>
          <w:rFonts w:hAnsi="仿宋_GB2312"/>
          <w:szCs w:val="32"/>
        </w:rPr>
        <w:t>理率达到</w:t>
      </w:r>
      <w:r>
        <w:rPr>
          <w:szCs w:val="32"/>
        </w:rPr>
        <w:t>65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ind w:left="266" w:hanging="265" w:hangingChars="83"/>
        <w:rPr>
          <w:szCs w:val="32"/>
        </w:rPr>
      </w:pPr>
      <w:r>
        <w:rPr>
          <w:rFonts w:hAnsi="仿宋_GB2312"/>
          <w:szCs w:val="32"/>
        </w:rPr>
        <w:t>７</w:t>
      </w:r>
      <w:r>
        <w:rPr>
          <w:szCs w:val="32"/>
        </w:rPr>
        <w:t>.</w:t>
      </w:r>
      <w:r>
        <w:rPr>
          <w:rFonts w:hAnsi="仿宋_GB2312"/>
          <w:szCs w:val="32"/>
        </w:rPr>
        <w:t>２型糖尿病患者管理人数在</w:t>
      </w:r>
      <w:r>
        <w:rPr>
          <w:szCs w:val="32"/>
        </w:rPr>
        <w:t>2019</w:t>
      </w:r>
      <w:r>
        <w:rPr>
          <w:rFonts w:hAnsi="仿宋_GB2312"/>
          <w:szCs w:val="32"/>
        </w:rPr>
        <w:t>年工作基础上稳步提高</w:t>
      </w:r>
      <w:r>
        <w:rPr>
          <w:rFonts w:hint="eastAsia" w:hAnsi="仿宋_GB2312"/>
          <w:szCs w:val="32"/>
        </w:rPr>
        <w:t>，</w:t>
      </w:r>
      <w:r>
        <w:rPr>
          <w:rFonts w:hAnsi="仿宋_GB2312"/>
          <w:szCs w:val="32"/>
        </w:rPr>
        <w:t>规范管理率达到</w:t>
      </w:r>
      <w:r>
        <w:rPr>
          <w:szCs w:val="32"/>
        </w:rPr>
        <w:t>65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rFonts w:hAnsi="仿宋_GB2312"/>
          <w:szCs w:val="32"/>
        </w:rPr>
        <w:t>８</w:t>
      </w:r>
      <w:r>
        <w:rPr>
          <w:szCs w:val="32"/>
        </w:rPr>
        <w:t>.</w:t>
      </w:r>
      <w:r>
        <w:rPr>
          <w:rFonts w:hAnsi="仿宋_GB2312"/>
          <w:szCs w:val="32"/>
        </w:rPr>
        <w:t>严重精神障碍患者规范管理率达到</w:t>
      </w:r>
      <w:r>
        <w:rPr>
          <w:szCs w:val="32"/>
        </w:rPr>
        <w:t>80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rFonts w:hAnsi="仿宋_GB2312"/>
          <w:szCs w:val="32"/>
        </w:rPr>
        <w:t>９</w:t>
      </w:r>
      <w:r>
        <w:rPr>
          <w:szCs w:val="32"/>
        </w:rPr>
        <w:t>.</w:t>
      </w:r>
      <w:r>
        <w:rPr>
          <w:rFonts w:hAnsi="仿宋_GB2312"/>
          <w:szCs w:val="32"/>
        </w:rPr>
        <w:t>肺结核患者管理率达到</w:t>
      </w:r>
      <w:r>
        <w:rPr>
          <w:szCs w:val="32"/>
        </w:rPr>
        <w:t>90</w:t>
      </w:r>
      <w:r>
        <w:rPr>
          <w:rFonts w:hAnsi="仿宋_GB2312"/>
          <w:szCs w:val="32"/>
        </w:rPr>
        <w:t>％以上</w:t>
      </w:r>
    </w:p>
    <w:p>
      <w:pPr>
        <w:spacing w:line="590" w:lineRule="exact"/>
        <w:rPr>
          <w:szCs w:val="32"/>
        </w:rPr>
      </w:pPr>
      <w:r>
        <w:rPr>
          <w:szCs w:val="32"/>
        </w:rPr>
        <w:t>10.</w:t>
      </w:r>
      <w:r>
        <w:rPr>
          <w:rFonts w:hAnsi="仿宋_GB2312"/>
          <w:szCs w:val="32"/>
        </w:rPr>
        <w:t>老年人、儿童中医药健康管理率分别达到</w:t>
      </w:r>
      <w:r>
        <w:rPr>
          <w:szCs w:val="32"/>
        </w:rPr>
        <w:t>65</w:t>
      </w:r>
      <w:r>
        <w:rPr>
          <w:rFonts w:hAnsi="仿宋_GB2312"/>
          <w:szCs w:val="32"/>
        </w:rPr>
        <w:t>％以上</w:t>
      </w:r>
    </w:p>
    <w:p>
      <w:pPr>
        <w:spacing w:line="590" w:lineRule="exact"/>
      </w:pPr>
      <w:r>
        <w:rPr>
          <w:szCs w:val="32"/>
        </w:rPr>
        <w:t>11.</w:t>
      </w:r>
      <w:r>
        <w:rPr>
          <w:rFonts w:hAnsi="仿宋_GB2312"/>
          <w:szCs w:val="32"/>
        </w:rPr>
        <w:t>传染病、突发公共卫生事件报告率分别达到</w:t>
      </w:r>
      <w:r>
        <w:rPr>
          <w:szCs w:val="32"/>
        </w:rPr>
        <w:t>95</w:t>
      </w:r>
      <w:r>
        <w:rPr>
          <w:rFonts w:hAnsi="仿宋_GB2312"/>
          <w:szCs w:val="32"/>
        </w:rPr>
        <w:t>％以上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0C1B"/>
    <w:multiLevelType w:val="singleLevel"/>
    <w:tmpl w:val="5F030C1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85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cp:lastPrinted>2020-09-17T05:15:48Z</cp:lastPrinted>
  <dcterms:modified xsi:type="dcterms:W3CDTF">2020-09-17T05:15:53Z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