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100" w:beforeAutospacing="1" w:after="100" w:afterAutospacing="1" w:line="590" w:lineRule="exact"/>
        <w:ind w:firstLine="38" w:firstLineChars="12"/>
        <w:jc w:val="both"/>
        <w:rPr>
          <w:rFonts w:hint="eastAsia" w:ascii="黑体" w:hAnsi="黑体" w:eastAsia="黑体" w:cs="黑体"/>
          <w:b w:val="0"/>
          <w:bCs w:val="0"/>
          <w:color w:val="000000"/>
          <w:kern w:val="2"/>
          <w:sz w:val="32"/>
          <w:szCs w:val="20"/>
          <w:lang w:val="en-US" w:eastAsia="zh-CN" w:bidi="ar-SA"/>
        </w:rPr>
      </w:pPr>
      <w:r>
        <w:rPr>
          <w:rFonts w:hint="eastAsia" w:ascii="黑体" w:hAnsi="黑体" w:eastAsia="黑体" w:cs="黑体"/>
          <w:b w:val="0"/>
          <w:bCs w:val="0"/>
          <w:color w:val="000000"/>
          <w:kern w:val="2"/>
          <w:sz w:val="32"/>
          <w:szCs w:val="20"/>
          <w:lang w:val="en-US" w:eastAsia="zh-CN" w:bidi="ar-SA"/>
        </w:rPr>
        <w:t>附件2</w:t>
      </w:r>
    </w:p>
    <w:p>
      <w:pPr>
        <w:widowControl/>
        <w:snapToGrid w:val="0"/>
        <w:spacing w:before="0" w:beforeAutospacing="0" w:after="0" w:afterAutospacing="0" w:line="120" w:lineRule="auto"/>
        <w:jc w:val="left"/>
        <w:rPr>
          <w:rFonts w:hint="eastAsia" w:ascii="Times New Roman" w:hAnsi="Times New Roman" w:eastAsia="仿宋_GB2312" w:cs="Times New Roman"/>
          <w:bCs w:val="0"/>
          <w:color w:val="000000"/>
          <w:kern w:val="2"/>
          <w:sz w:val="32"/>
          <w:szCs w:val="24"/>
          <w:lang w:val="en-US" w:eastAsia="zh-CN" w:bidi="ar-SA"/>
        </w:rPr>
      </w:pPr>
    </w:p>
    <w:p>
      <w:pPr>
        <w:snapToGrid w:val="0"/>
        <w:spacing w:line="240" w:lineRule="auto"/>
        <w:jc w:val="center"/>
        <w:rPr>
          <w:rFonts w:hint="eastAsia" w:ascii="方正小标宋简体" w:hAnsi="方正小标宋简体" w:eastAsia="方正小标宋简体" w:cs="方正小标宋简体"/>
          <w:bCs w:val="0"/>
          <w:sz w:val="44"/>
          <w:szCs w:val="44"/>
        </w:rPr>
      </w:pPr>
      <w:r>
        <w:rPr>
          <w:rFonts w:hint="eastAsia" w:ascii="方正小标宋简体" w:hAnsi="方正小标宋简体" w:eastAsia="方正小标宋简体" w:cs="方正小标宋简体"/>
          <w:bCs w:val="0"/>
          <w:sz w:val="44"/>
          <w:szCs w:val="44"/>
        </w:rPr>
        <w:t>“福建共益杯”全省职业健康技能</w:t>
      </w:r>
    </w:p>
    <w:p>
      <w:pPr>
        <w:snapToGrid w:val="0"/>
        <w:spacing w:line="240" w:lineRule="auto"/>
        <w:jc w:val="center"/>
        <w:rPr>
          <w:rFonts w:hint="eastAsia" w:ascii="方正小标宋简体" w:hAnsi="方正小标宋简体" w:eastAsia="方正小标宋简体" w:cs="方正小标宋简体"/>
          <w:bCs w:val="0"/>
          <w:sz w:val="44"/>
          <w:szCs w:val="44"/>
        </w:rPr>
      </w:pPr>
      <w:r>
        <w:rPr>
          <w:rFonts w:hint="eastAsia" w:ascii="方正小标宋简体" w:hAnsi="方正小标宋简体" w:eastAsia="方正小标宋简体" w:cs="方正小标宋简体"/>
          <w:bCs w:val="0"/>
          <w:sz w:val="44"/>
          <w:szCs w:val="44"/>
        </w:rPr>
        <w:t>竞赛决赛技术方案</w:t>
      </w:r>
    </w:p>
    <w:p>
      <w:pPr>
        <w:adjustRightInd w:val="0"/>
        <w:snapToGrid w:val="0"/>
        <w:spacing w:line="590" w:lineRule="exact"/>
        <w:ind w:firstLine="640" w:firstLineChars="200"/>
        <w:jc w:val="both"/>
        <w:rPr>
          <w:rFonts w:hint="eastAsia" w:ascii="黑体" w:hAnsi="黑体" w:eastAsia="黑体" w:cs="黑体"/>
          <w:b w:val="0"/>
          <w:bCs w:val="0"/>
          <w:color w:val="000000"/>
          <w:sz w:val="32"/>
          <w:szCs w:val="32"/>
        </w:rPr>
      </w:pPr>
    </w:p>
    <w:p>
      <w:pPr>
        <w:adjustRightInd w:val="0"/>
        <w:snapToGrid w:val="0"/>
        <w:spacing w:line="590" w:lineRule="exact"/>
        <w:ind w:firstLine="640" w:firstLineChars="200"/>
        <w:jc w:val="both"/>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一、竞赛形式</w:t>
      </w:r>
    </w:p>
    <w:p>
      <w:pPr>
        <w:adjustRightInd w:val="0"/>
        <w:snapToGrid w:val="0"/>
        <w:spacing w:line="590" w:lineRule="exact"/>
        <w:ind w:firstLine="640" w:firstLineChars="200"/>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竞赛</w:t>
      </w:r>
      <w:r>
        <w:rPr>
          <w:rFonts w:hint="eastAsia" w:ascii="仿宋_GB2312" w:hAnsi="仿宋_GB2312" w:eastAsia="仿宋_GB2312" w:cs="仿宋_GB2312"/>
          <w:b w:val="0"/>
          <w:bCs w:val="0"/>
          <w:color w:val="000000"/>
          <w:sz w:val="32"/>
          <w:szCs w:val="32"/>
          <w:lang w:eastAsia="zh-CN"/>
        </w:rPr>
        <w:t>由</w:t>
      </w:r>
      <w:r>
        <w:rPr>
          <w:rFonts w:hint="eastAsia" w:ascii="仿宋_GB2312" w:hAnsi="仿宋_GB2312" w:eastAsia="仿宋_GB2312" w:cs="仿宋_GB2312"/>
          <w:b w:val="0"/>
          <w:bCs w:val="0"/>
          <w:color w:val="000000"/>
          <w:sz w:val="32"/>
          <w:szCs w:val="32"/>
        </w:rPr>
        <w:t>闭卷考试、现场技能操作、知识竞答三个部分。</w:t>
      </w:r>
    </w:p>
    <w:p>
      <w:pPr>
        <w:adjustRightInd w:val="0"/>
        <w:snapToGrid w:val="0"/>
        <w:spacing w:line="590" w:lineRule="exact"/>
        <w:ind w:firstLine="640" w:firstLineChars="200"/>
        <w:rPr>
          <w:rFonts w:ascii="仿宋_GB2312" w:hAnsi="仿宋_GB2312" w:eastAsia="仿宋_GB2312" w:cs="仿宋_GB2312"/>
          <w:b w:val="0"/>
          <w:bCs w:val="0"/>
          <w:color w:val="000000"/>
          <w:sz w:val="32"/>
          <w:szCs w:val="32"/>
        </w:rPr>
      </w:pPr>
      <w:r>
        <w:rPr>
          <w:rFonts w:hint="eastAsia" w:ascii="楷体_GB2312" w:hAnsi="楷体_GB2312" w:eastAsia="楷体_GB2312" w:cs="楷体_GB2312"/>
          <w:b w:val="0"/>
          <w:bCs w:val="0"/>
          <w:color w:val="000000"/>
          <w:sz w:val="32"/>
          <w:szCs w:val="32"/>
        </w:rPr>
        <w:t>（一）闭卷笔试。</w:t>
      </w:r>
      <w:r>
        <w:rPr>
          <w:rFonts w:hint="eastAsia" w:ascii="仿宋_GB2312" w:hAnsi="仿宋_GB2312" w:eastAsia="仿宋_GB2312" w:cs="仿宋_GB2312"/>
          <w:b w:val="0"/>
          <w:bCs w:val="0"/>
          <w:color w:val="000000"/>
          <w:sz w:val="32"/>
          <w:szCs w:val="32"/>
        </w:rPr>
        <w:t>所有队员参与，分用人单位主要负责人、职业卫生管理人员、劳动者、</w:t>
      </w:r>
      <w:r>
        <w:rPr>
          <w:rFonts w:hint="eastAsia" w:ascii="仿宋_GB2312" w:hAnsi="仿宋_GB2312" w:cs="仿宋_GB2312"/>
          <w:b w:val="0"/>
          <w:bCs w:val="0"/>
          <w:color w:val="000000"/>
          <w:sz w:val="32"/>
          <w:szCs w:val="32"/>
          <w:lang w:eastAsia="zh-CN"/>
        </w:rPr>
        <w:t>职业</w:t>
      </w:r>
      <w:r>
        <w:rPr>
          <w:rFonts w:hint="eastAsia" w:ascii="仿宋_GB2312" w:hAnsi="仿宋_GB2312" w:eastAsia="仿宋_GB2312" w:cs="仿宋_GB2312"/>
          <w:b w:val="0"/>
          <w:bCs w:val="0"/>
          <w:color w:val="000000"/>
          <w:sz w:val="32"/>
          <w:szCs w:val="32"/>
        </w:rPr>
        <w:t>健康</w:t>
      </w:r>
      <w:r>
        <w:rPr>
          <w:rFonts w:hint="eastAsia" w:ascii="仿宋_GB2312" w:hAnsi="仿宋_GB2312" w:cs="仿宋_GB2312"/>
          <w:b w:val="0"/>
          <w:bCs w:val="0"/>
          <w:color w:val="000000"/>
          <w:sz w:val="32"/>
          <w:szCs w:val="32"/>
          <w:lang w:eastAsia="zh-CN"/>
        </w:rPr>
        <w:t>检查</w:t>
      </w:r>
      <w:r>
        <w:rPr>
          <w:rFonts w:hint="eastAsia" w:ascii="仿宋_GB2312" w:hAnsi="仿宋_GB2312" w:eastAsia="仿宋_GB2312" w:cs="仿宋_GB2312"/>
          <w:b w:val="0"/>
          <w:bCs w:val="0"/>
          <w:color w:val="000000"/>
          <w:sz w:val="32"/>
          <w:szCs w:val="32"/>
        </w:rPr>
        <w:t>机构人员、职业卫生人员，放射卫生人员6类试卷，考试时间为90分钟。题型包括单项选择题、多项选择题和判断题，满分为100分。</w:t>
      </w:r>
    </w:p>
    <w:p>
      <w:pPr>
        <w:adjustRightInd w:val="0"/>
        <w:snapToGrid w:val="0"/>
        <w:spacing w:line="590" w:lineRule="exact"/>
        <w:ind w:firstLine="640" w:firstLineChars="200"/>
        <w:rPr>
          <w:rFonts w:ascii="仿宋_GB2312" w:hAnsi="仿宋_GB2312" w:eastAsia="仿宋_GB2312" w:cs="仿宋_GB2312"/>
          <w:b w:val="0"/>
          <w:bCs w:val="0"/>
          <w:color w:val="000000"/>
          <w:sz w:val="32"/>
          <w:szCs w:val="32"/>
        </w:rPr>
      </w:pPr>
      <w:r>
        <w:rPr>
          <w:rFonts w:hint="eastAsia" w:ascii="楷体_GB2312" w:hAnsi="楷体_GB2312" w:eastAsia="楷体_GB2312" w:cs="楷体_GB2312"/>
          <w:b w:val="0"/>
          <w:bCs w:val="0"/>
          <w:color w:val="000000"/>
          <w:sz w:val="32"/>
          <w:szCs w:val="32"/>
        </w:rPr>
        <w:t>（二）现场技能操作。</w:t>
      </w:r>
      <w:r>
        <w:rPr>
          <w:rFonts w:hint="eastAsia" w:ascii="仿宋_GB2312" w:hAnsi="仿宋_GB2312" w:eastAsia="仿宋_GB2312" w:cs="仿宋_GB2312"/>
          <w:b w:val="0"/>
          <w:bCs w:val="0"/>
          <w:color w:val="000000"/>
          <w:sz w:val="32"/>
          <w:szCs w:val="32"/>
        </w:rPr>
        <w:t>所有队员参与，分用人单位主要负责人、职业卫生管理人员、劳动者、职业健康</w:t>
      </w:r>
      <w:r>
        <w:rPr>
          <w:rFonts w:hint="eastAsia" w:ascii="仿宋_GB2312" w:hAnsi="仿宋_GB2312" w:cs="仿宋_GB2312"/>
          <w:b w:val="0"/>
          <w:bCs w:val="0"/>
          <w:color w:val="000000"/>
          <w:sz w:val="32"/>
          <w:szCs w:val="32"/>
          <w:lang w:eastAsia="zh-CN"/>
        </w:rPr>
        <w:t>检查</w:t>
      </w:r>
      <w:r>
        <w:rPr>
          <w:rFonts w:hint="eastAsia" w:ascii="仿宋_GB2312" w:hAnsi="仿宋_GB2312" w:eastAsia="仿宋_GB2312" w:cs="仿宋_GB2312"/>
          <w:b w:val="0"/>
          <w:bCs w:val="0"/>
          <w:color w:val="000000"/>
          <w:sz w:val="32"/>
          <w:szCs w:val="32"/>
        </w:rPr>
        <w:t>机构人员、职业卫生人员，放射卫生人员6类测试，每名队员实操时间各20分钟。考试内容为相关技能操作，满分为100分。</w:t>
      </w:r>
    </w:p>
    <w:p>
      <w:pPr>
        <w:adjustRightInd w:val="0"/>
        <w:snapToGrid w:val="0"/>
        <w:spacing w:line="590" w:lineRule="exact"/>
        <w:ind w:firstLine="640" w:firstLineChars="200"/>
        <w:rPr>
          <w:rFonts w:ascii="仿宋_GB2312" w:hAnsi="仿宋_GB2312" w:eastAsia="仿宋_GB2312" w:cs="仿宋_GB2312"/>
          <w:b w:val="0"/>
          <w:bCs w:val="0"/>
          <w:color w:val="000000"/>
          <w:sz w:val="32"/>
          <w:szCs w:val="32"/>
        </w:rPr>
      </w:pPr>
      <w:r>
        <w:rPr>
          <w:rFonts w:hint="eastAsia" w:ascii="楷体_GB2312" w:hAnsi="楷体_GB2312" w:eastAsia="楷体_GB2312" w:cs="楷体_GB2312"/>
          <w:b w:val="0"/>
          <w:bCs w:val="0"/>
          <w:color w:val="000000"/>
          <w:sz w:val="32"/>
          <w:szCs w:val="32"/>
        </w:rPr>
        <w:t>（三）知识竞答。</w:t>
      </w:r>
      <w:r>
        <w:rPr>
          <w:rFonts w:hint="eastAsia" w:ascii="仿宋_GB2312" w:hAnsi="仿宋_GB2312" w:eastAsia="仿宋_GB2312" w:cs="仿宋_GB2312"/>
          <w:b w:val="0"/>
          <w:bCs w:val="0"/>
          <w:color w:val="000000"/>
          <w:sz w:val="32"/>
          <w:szCs w:val="32"/>
        </w:rPr>
        <w:t>各代表队以团队形式参与，共同完成竞答。设有必答题、抢答题和风险题，题型为单选题、多选题或判断题。</w:t>
      </w:r>
    </w:p>
    <w:p>
      <w:pPr>
        <w:adjustRightInd w:val="0"/>
        <w:snapToGrid w:val="0"/>
        <w:spacing w:line="590" w:lineRule="exact"/>
        <w:ind w:firstLine="640" w:firstLineChars="200"/>
        <w:jc w:val="both"/>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二、竞赛内容</w:t>
      </w:r>
    </w:p>
    <w:p>
      <w:pPr>
        <w:adjustRightInd w:val="0"/>
        <w:snapToGrid w:val="0"/>
        <w:spacing w:line="590" w:lineRule="exact"/>
        <w:ind w:firstLine="640" w:firstLineChars="200"/>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（一）笔试及知识竞答部分</w:t>
      </w:r>
    </w:p>
    <w:p>
      <w:pPr>
        <w:adjustRightInd w:val="0"/>
        <w:snapToGrid w:val="0"/>
        <w:spacing w:line="590" w:lineRule="exact"/>
        <w:ind w:firstLine="640" w:firstLineChars="200"/>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用人单位主要负责人、职业卫生管理人员、劳动者：（1）职业卫生相关法律、法规、规章和国家职业卫生标准；（2）职业病危害预防和控制的基本知识、基本概念、职业病防治工作方针与原则、相关内容；（3）职业卫生管理相关知识；（4）职业健康保护与促进、健康企业、健康达人、劳动者职业健康素养基本知识、企业疫情防控要求。</w:t>
      </w:r>
    </w:p>
    <w:p>
      <w:pPr>
        <w:adjustRightInd w:val="0"/>
        <w:snapToGrid w:val="0"/>
        <w:spacing w:line="590" w:lineRule="exact"/>
        <w:ind w:firstLine="640" w:firstLineChars="200"/>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cs="仿宋_GB2312"/>
          <w:b w:val="0"/>
          <w:bCs w:val="0"/>
          <w:color w:val="000000"/>
          <w:sz w:val="32"/>
          <w:szCs w:val="32"/>
          <w:lang w:val="en-US" w:eastAsia="zh-CN"/>
        </w:rPr>
        <w:t>职业</w:t>
      </w:r>
      <w:r>
        <w:rPr>
          <w:rFonts w:hint="eastAsia" w:ascii="仿宋_GB2312" w:hAnsi="仿宋_GB2312" w:eastAsia="仿宋_GB2312" w:cs="仿宋_GB2312"/>
          <w:b w:val="0"/>
          <w:bCs w:val="0"/>
          <w:color w:val="000000"/>
          <w:sz w:val="32"/>
          <w:szCs w:val="32"/>
        </w:rPr>
        <w:t>健康</w:t>
      </w:r>
      <w:r>
        <w:rPr>
          <w:rFonts w:hint="eastAsia" w:ascii="仿宋_GB2312" w:hAnsi="仿宋_GB2312" w:cs="仿宋_GB2312"/>
          <w:b w:val="0"/>
          <w:bCs w:val="0"/>
          <w:color w:val="000000"/>
          <w:sz w:val="32"/>
          <w:szCs w:val="32"/>
          <w:lang w:eastAsia="zh-CN"/>
        </w:rPr>
        <w:t>检查</w:t>
      </w:r>
      <w:r>
        <w:rPr>
          <w:rFonts w:hint="eastAsia" w:ascii="仿宋_GB2312" w:hAnsi="仿宋_GB2312" w:eastAsia="仿宋_GB2312" w:cs="仿宋_GB2312"/>
          <w:b w:val="0"/>
          <w:bCs w:val="0"/>
          <w:color w:val="000000"/>
          <w:sz w:val="32"/>
          <w:szCs w:val="32"/>
        </w:rPr>
        <w:t>机构人员：职业卫生相关法律、法规、规章和国家职业卫生标准等，职业健康</w:t>
      </w:r>
      <w:r>
        <w:rPr>
          <w:rFonts w:hint="eastAsia" w:ascii="仿宋_GB2312" w:hAnsi="仿宋_GB2312" w:cs="仿宋_GB2312"/>
          <w:b w:val="0"/>
          <w:bCs w:val="0"/>
          <w:color w:val="000000"/>
          <w:sz w:val="32"/>
          <w:szCs w:val="32"/>
          <w:lang w:eastAsia="zh-CN"/>
        </w:rPr>
        <w:t>检查</w:t>
      </w:r>
      <w:r>
        <w:rPr>
          <w:rFonts w:hint="eastAsia" w:ascii="仿宋_GB2312" w:hAnsi="仿宋_GB2312" w:eastAsia="仿宋_GB2312" w:cs="仿宋_GB2312"/>
          <w:b w:val="0"/>
          <w:bCs w:val="0"/>
          <w:color w:val="000000"/>
          <w:sz w:val="32"/>
          <w:szCs w:val="32"/>
        </w:rPr>
        <w:t>相关技术内容。</w:t>
      </w:r>
    </w:p>
    <w:p>
      <w:pPr>
        <w:adjustRightInd w:val="0"/>
        <w:snapToGrid w:val="0"/>
        <w:spacing w:line="590" w:lineRule="exact"/>
        <w:ind w:firstLine="640" w:firstLineChars="200"/>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职业卫生人员：职业卫生相关法律、法规、规章和国家职业卫生标准等，职业卫生检测、职业卫生评价等内容。</w:t>
      </w:r>
    </w:p>
    <w:p>
      <w:pPr>
        <w:adjustRightInd w:val="0"/>
        <w:snapToGrid w:val="0"/>
        <w:spacing w:line="590" w:lineRule="exact"/>
        <w:ind w:firstLine="640" w:firstLineChars="200"/>
        <w:rPr>
          <w:rFonts w:eastAsia="仿宋_GB2312"/>
          <w:b w:val="0"/>
          <w:bCs w:val="0"/>
        </w:rPr>
      </w:pPr>
      <w:r>
        <w:rPr>
          <w:rFonts w:hint="eastAsia" w:ascii="仿宋_GB2312" w:hAnsi="仿宋_GB2312" w:eastAsia="仿宋_GB2312" w:cs="仿宋_GB2312"/>
          <w:b w:val="0"/>
          <w:bCs w:val="0"/>
          <w:color w:val="000000"/>
          <w:sz w:val="32"/>
          <w:szCs w:val="32"/>
        </w:rPr>
        <w:t>4</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放射卫生人员：：职业卫生相关法律、法规、规章和国家职业卫生标准等，放射卫生检测、评价等内容。</w:t>
      </w:r>
    </w:p>
    <w:p>
      <w:pPr>
        <w:adjustRightInd w:val="0"/>
        <w:snapToGrid w:val="0"/>
        <w:spacing w:line="590" w:lineRule="exact"/>
        <w:ind w:firstLine="640" w:firstLineChars="200"/>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（二）现场技能操作</w:t>
      </w:r>
    </w:p>
    <w:p>
      <w:pPr>
        <w:adjustRightInd w:val="0"/>
        <w:snapToGrid w:val="0"/>
        <w:spacing w:line="590" w:lineRule="exact"/>
        <w:ind w:firstLine="640" w:firstLineChars="200"/>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现场技能操作内容</w:t>
      </w:r>
    </w:p>
    <w:p>
      <w:pPr>
        <w:adjustRightInd w:val="0"/>
        <w:snapToGrid w:val="0"/>
        <w:spacing w:line="590" w:lineRule="exact"/>
        <w:ind w:firstLine="640" w:firstLineChars="200"/>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ascii="仿宋_GB2312" w:hAnsi="仿宋_GB2312" w:eastAsia="仿宋_GB2312" w:cs="仿宋_GB2312"/>
          <w:b w:val="0"/>
          <w:bCs w:val="0"/>
          <w:color w:val="000000"/>
          <w:sz w:val="32"/>
          <w:szCs w:val="32"/>
        </w:rPr>
        <w:t>1</w:t>
      </w:r>
      <w:r>
        <w:rPr>
          <w:rFonts w:hint="eastAsia" w:ascii="仿宋_GB2312" w:hAnsi="仿宋_GB2312" w:eastAsia="仿宋_GB2312" w:cs="仿宋_GB2312"/>
          <w:b w:val="0"/>
          <w:bCs w:val="0"/>
          <w:color w:val="000000"/>
          <w:sz w:val="32"/>
          <w:szCs w:val="32"/>
        </w:rPr>
        <w:t>）主要负责人、职业卫生管理人员技能：职业卫生相关法律、法规、规章和国家职业卫生标准、职业卫生管理制度，企业疫情防控要求等的应用或实施或管理等。</w:t>
      </w:r>
    </w:p>
    <w:p>
      <w:pPr>
        <w:adjustRightInd w:val="0"/>
        <w:snapToGrid w:val="0"/>
        <w:spacing w:line="590" w:lineRule="exact"/>
        <w:ind w:firstLine="640" w:firstLineChars="200"/>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（2）劳动者技能：个体防护用品使用、《中国劳动者职业健康素养--基本知识和技能2022 年版》中相关内容等。</w:t>
      </w:r>
    </w:p>
    <w:p>
      <w:pPr>
        <w:adjustRightInd w:val="0"/>
        <w:snapToGrid w:val="0"/>
        <w:spacing w:line="590" w:lineRule="exact"/>
        <w:ind w:firstLine="640" w:firstLineChars="200"/>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（3）职业健康</w:t>
      </w:r>
      <w:r>
        <w:rPr>
          <w:rFonts w:hint="eastAsia" w:ascii="仿宋_GB2312" w:hAnsi="仿宋_GB2312" w:cs="仿宋_GB2312"/>
          <w:b w:val="0"/>
          <w:bCs w:val="0"/>
          <w:color w:val="000000"/>
          <w:sz w:val="32"/>
          <w:szCs w:val="32"/>
          <w:lang w:eastAsia="zh-CN"/>
        </w:rPr>
        <w:t>检查</w:t>
      </w:r>
      <w:r>
        <w:rPr>
          <w:rFonts w:hint="eastAsia" w:ascii="仿宋_GB2312" w:hAnsi="仿宋_GB2312" w:eastAsia="仿宋_GB2312" w:cs="仿宋_GB2312"/>
          <w:b w:val="0"/>
          <w:bCs w:val="0"/>
          <w:color w:val="000000"/>
          <w:sz w:val="32"/>
          <w:szCs w:val="32"/>
        </w:rPr>
        <w:t>机构人员技能：职业健康监护技术等。</w:t>
      </w:r>
    </w:p>
    <w:p>
      <w:pPr>
        <w:adjustRightInd w:val="0"/>
        <w:snapToGrid w:val="0"/>
        <w:spacing w:line="590" w:lineRule="exact"/>
        <w:ind w:firstLine="640" w:firstLineChars="200"/>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（4）职业卫生人员技能：职业卫生现场采样检测技术、现场调查、职业病危害因素识别、职业病防护设施分析与评价、控制职业病危害的补充措施与建议等。</w:t>
      </w:r>
    </w:p>
    <w:p>
      <w:pPr>
        <w:adjustRightInd w:val="0"/>
        <w:snapToGrid w:val="0"/>
        <w:spacing w:line="590" w:lineRule="exact"/>
        <w:ind w:firstLine="640" w:firstLineChars="200"/>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（5）放射卫生人员技能：放射卫生现场检测技术、评价等。</w:t>
      </w:r>
    </w:p>
    <w:p>
      <w:pPr>
        <w:adjustRightInd w:val="0"/>
        <w:snapToGrid w:val="0"/>
        <w:spacing w:line="59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xml:space="preserve">2.评分方法 </w:t>
      </w:r>
    </w:p>
    <w:p>
      <w:pPr>
        <w:adjustRightInd w:val="0"/>
        <w:snapToGrid w:val="0"/>
        <w:spacing w:line="590" w:lineRule="exact"/>
        <w:ind w:firstLine="640" w:firstLineChars="200"/>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xml:space="preserve">现场操作竞赛评分依据主要以考查竞赛人员的操作规范性及原始记录的规范性等。竞赛队员有违纪行为一经发现由监督员带离竞赛现场，该违纪人员的本项竞赛成绩按零分计算。 </w:t>
      </w:r>
    </w:p>
    <w:p>
      <w:pPr>
        <w:adjustRightInd w:val="0"/>
        <w:snapToGrid w:val="0"/>
        <w:spacing w:line="59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xml:space="preserve">3.现场操作竞赛物资准备 </w:t>
      </w:r>
    </w:p>
    <w:p>
      <w:pPr>
        <w:adjustRightInd w:val="0"/>
        <w:snapToGrid w:val="0"/>
        <w:spacing w:line="590" w:lineRule="exact"/>
        <w:ind w:firstLine="640" w:firstLineChars="200"/>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xml:space="preserve">（1）组委会提供物资 </w:t>
      </w:r>
    </w:p>
    <w:p>
      <w:pPr>
        <w:adjustRightInd w:val="0"/>
        <w:snapToGrid w:val="0"/>
        <w:spacing w:line="590" w:lineRule="exact"/>
        <w:ind w:firstLine="640" w:firstLineChars="200"/>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xml:space="preserve">稿纸、记录纸、个人防护用品以及相关的辅助材料。 </w:t>
      </w:r>
    </w:p>
    <w:p>
      <w:pPr>
        <w:adjustRightInd w:val="0"/>
        <w:snapToGrid w:val="0"/>
        <w:spacing w:line="590" w:lineRule="exact"/>
        <w:ind w:firstLine="640" w:firstLineChars="200"/>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（2）禁用物资</w:t>
      </w:r>
    </w:p>
    <w:p>
      <w:pPr>
        <w:adjustRightInd w:val="0"/>
        <w:snapToGrid w:val="0"/>
        <w:spacing w:line="590" w:lineRule="exact"/>
        <w:ind w:firstLine="640" w:firstLineChars="200"/>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各种文字材料、笔记本电脑及手机等通讯设备。</w:t>
      </w:r>
    </w:p>
    <w:p>
      <w:pPr>
        <w:adjustRightInd w:val="0"/>
        <w:snapToGrid w:val="0"/>
        <w:spacing w:line="590" w:lineRule="exact"/>
        <w:ind w:firstLine="640" w:firstLineChars="200"/>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xml:space="preserve">（3）自带物资 </w:t>
      </w:r>
    </w:p>
    <w:p>
      <w:pPr>
        <w:adjustRightInd w:val="0"/>
        <w:snapToGrid w:val="0"/>
        <w:spacing w:line="590" w:lineRule="exact"/>
        <w:ind w:firstLine="640" w:firstLineChars="200"/>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参赛队伍自行准备在检定有效期内的采样检测仪器。</w:t>
      </w:r>
    </w:p>
    <w:p>
      <w:pPr>
        <w:adjustRightInd w:val="0"/>
        <w:snapToGrid w:val="0"/>
        <w:spacing w:line="590" w:lineRule="exact"/>
        <w:ind w:firstLine="640" w:firstLineChars="200"/>
        <w:jc w:val="both"/>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、成绩计算</w:t>
      </w:r>
    </w:p>
    <w:p>
      <w:pPr>
        <w:adjustRightInd w:val="0"/>
        <w:snapToGrid w:val="0"/>
        <w:spacing w:line="590" w:lineRule="exact"/>
        <w:ind w:firstLine="640" w:firstLineChars="200"/>
        <w:rPr>
          <w:rFonts w:hint="eastAsia" w:ascii="仿宋_GB2312" w:hAnsi="仿宋_GB2312" w:eastAsia="仿宋_GB2312" w:cs="仿宋_GB2312"/>
          <w:b w:val="0"/>
          <w:bCs w:val="0"/>
          <w:color w:val="000000"/>
          <w:kern w:val="2"/>
          <w:sz w:val="32"/>
          <w:szCs w:val="32"/>
          <w:shd w:val="clear" w:color="auto" w:fill="auto"/>
          <w:lang w:bidi="ar"/>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2"/>
          <w:sz w:val="32"/>
          <w:szCs w:val="32"/>
          <w:shd w:val="clear" w:color="auto" w:fill="auto"/>
          <w:lang w:bidi="ar"/>
        </w:rPr>
        <w:t>一）个人成绩：个人笔试（40％）＋技能操作个人项目（40％）＋知识竞答团体成绩（20％），成绩均保留两位小数。</w:t>
      </w:r>
    </w:p>
    <w:p>
      <w:pPr>
        <w:adjustRightInd w:val="0"/>
        <w:snapToGrid w:val="0"/>
        <w:spacing w:line="59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（二）团体成绩：6名队员笔试平均分（40％）＋6名队员技能操作个人项目平均分（40％）＋知识竞答团体成绩（20％），成绩均保留两位小数。</w:t>
      </w:r>
    </w:p>
    <w:p>
      <w:pPr>
        <w:adjustRightInd w:val="0"/>
        <w:snapToGrid w:val="0"/>
        <w:spacing w:line="59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（三）所有原始成绩均换算成标准T分后，再计算总成绩。团队笔试成绩和团队技能操作个人项目成绩，分别取6名队员的T分平均分。</w:t>
      </w:r>
    </w:p>
    <w:p>
      <w:pPr>
        <w:adjustRightInd w:val="0"/>
        <w:snapToGrid w:val="0"/>
        <w:spacing w:line="59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（四）T分＝50＋（原始分－算术平均分）÷标准差×10。</w:t>
      </w:r>
    </w:p>
    <w:p>
      <w:pPr>
        <w:adjustRightInd w:val="0"/>
        <w:snapToGrid w:val="0"/>
        <w:spacing w:line="590" w:lineRule="exact"/>
        <w:ind w:firstLine="640" w:firstLineChars="200"/>
        <w:jc w:val="both"/>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四</w:t>
      </w:r>
      <w:r>
        <w:rPr>
          <w:rFonts w:hint="eastAsia" w:ascii="黑体" w:hAnsi="黑体" w:eastAsia="黑体" w:cs="黑体"/>
          <w:b w:val="0"/>
          <w:bCs w:val="0"/>
          <w:color w:val="000000"/>
          <w:sz w:val="32"/>
          <w:szCs w:val="32"/>
        </w:rPr>
        <w:t>、参考资料</w:t>
      </w:r>
    </w:p>
    <w:p>
      <w:pPr>
        <w:adjustRightInd w:val="0"/>
        <w:snapToGrid w:val="0"/>
        <w:spacing w:line="590" w:lineRule="exact"/>
        <w:ind w:firstLine="640" w:firstLineChars="200"/>
        <w:rPr>
          <w:rFonts w:ascii="仿宋_GB2312" w:hAnsi="仿宋_GB2312" w:eastAsia="仿宋_GB2312" w:cs="仿宋_GB2312"/>
          <w:b w:val="0"/>
          <w:bCs w:val="0"/>
          <w:color w:val="000000"/>
          <w:sz w:val="32"/>
          <w:szCs w:val="32"/>
        </w:rPr>
      </w:pPr>
      <w:r>
        <w:rPr>
          <w:rFonts w:hint="eastAsia" w:ascii="楷体_GB2312" w:hAnsi="楷体_GB2312" w:eastAsia="楷体_GB2312" w:cs="楷体_GB2312"/>
          <w:b w:val="0"/>
          <w:bCs w:val="0"/>
          <w:color w:val="000000"/>
          <w:sz w:val="32"/>
          <w:szCs w:val="32"/>
          <w:lang w:eastAsia="zh-CN"/>
        </w:rPr>
        <w:t>（一）法律法规部分：</w:t>
      </w:r>
      <w:r>
        <w:rPr>
          <w:rFonts w:hint="eastAsia" w:ascii="仿宋_GB2312" w:hAnsi="仿宋_GB2312" w:eastAsia="仿宋_GB2312" w:cs="仿宋_GB2312"/>
          <w:b w:val="0"/>
          <w:bCs w:val="0"/>
          <w:color w:val="000000"/>
          <w:sz w:val="32"/>
          <w:szCs w:val="32"/>
        </w:rPr>
        <w:t>《中华人民共和国职业病防治法》《女职工劳动保护特别规定》《工作场所职业卫生管理规定》《建设项目职业病防护设施“三同时”监督管理办法》《突发公共卫生事件应急条例》等法律、法规和规章。</w:t>
      </w:r>
    </w:p>
    <w:p>
      <w:pPr>
        <w:adjustRightInd w:val="0"/>
        <w:snapToGrid w:val="0"/>
        <w:spacing w:line="590" w:lineRule="exact"/>
        <w:ind w:firstLine="640" w:firstLineChars="200"/>
      </w:pPr>
      <w:r>
        <w:rPr>
          <w:rFonts w:hint="eastAsia" w:ascii="楷体_GB2312" w:hAnsi="楷体_GB2312" w:eastAsia="楷体_GB2312" w:cs="楷体_GB2312"/>
          <w:b w:val="0"/>
          <w:bCs w:val="0"/>
          <w:color w:val="000000"/>
          <w:sz w:val="32"/>
          <w:szCs w:val="32"/>
          <w:lang w:eastAsia="zh-CN"/>
        </w:rPr>
        <w:t>（二）规范标准部分：</w:t>
      </w:r>
      <w:r>
        <w:rPr>
          <w:rFonts w:hint="eastAsia" w:ascii="仿宋_GB2312" w:hAnsi="仿宋_GB2312" w:eastAsia="仿宋_GB2312" w:cs="仿宋_GB2312"/>
          <w:b w:val="0"/>
          <w:bCs w:val="0"/>
          <w:color w:val="000000"/>
          <w:sz w:val="32"/>
          <w:szCs w:val="32"/>
        </w:rPr>
        <w:t>《工业企业设计卫生标准》、《用人单位职业病防治指南》《用人单位职业病危害告知与警示标识管理规范》《用人单位劳动防护用品管理规范》《职业健康监护技术规范》《中国劳动者职业健康素养——基本知识和技能（2022年版）》《关于印发福建省健康企业建设实施方案的通知》等标准、规范及其他职业卫生、放射卫生检测、评价相关标准。</w:t>
      </w:r>
      <w:bookmarkStart w:id="0" w:name="_GoBack"/>
      <w:bookmarkEnd w:id="0"/>
    </w:p>
    <w:sectPr>
      <w:pgSz w:w="11906" w:h="16838"/>
      <w:pgMar w:top="1644"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57AC3E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rPr>
  </w:style>
  <w:style w:type="paragraph" w:styleId="3">
    <w:name w:val="Body Text"/>
    <w:basedOn w:val="1"/>
    <w:qFormat/>
    <w:uiPriority w:val="0"/>
    <w:pPr>
      <w:widowControl w:val="0"/>
      <w:spacing w:after="120" w:afterLines="0" w:afterAutospacing="0"/>
      <w:ind w:firstLine="880" w:firstLineChars="200"/>
      <w:jc w:val="both"/>
    </w:pPr>
    <w:rPr>
      <w:rFonts w:ascii="仿宋_GB2312" w:hAnsi="仿宋_GB2312" w:eastAsia="仿宋_GB2312" w:cs="Times New Roman"/>
      <w:kern w:val="2"/>
      <w:sz w:val="36"/>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2022-08-01T01:56:37Z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5A18B9C6A1A642FE92E21DC2C60317F2</vt:lpwstr>
  </property>
</Properties>
</file>